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keepNext w:val="0"/>
        <w:keepLines w:val="0"/>
        <w:widowControl/>
        <w:suppressLineNumbers w:val="0"/>
        <w:ind w:left="0" w:firstLine="0"/>
        <w:jc w:val="center"/>
        <w:rPr>
          <w:rStyle w:val="21"/>
        </w:rPr>
      </w:pPr>
    </w:p>
    <w:p>
      <w:pPr>
        <w:pStyle w:val="37"/>
        <w:keepNext w:val="0"/>
        <w:keepLines w:val="0"/>
        <w:widowControl/>
        <w:suppressLineNumbers w:val="0"/>
        <w:ind w:left="0" w:firstLine="0"/>
        <w:jc w:val="center"/>
        <w:rPr>
          <w:rStyle w:val="21"/>
        </w:rPr>
      </w:pPr>
    </w:p>
    <w:p>
      <w:pPr>
        <w:autoSpaceDE w:val="0"/>
        <w:autoSpaceDN w:val="0"/>
        <w:adjustRightInd w:val="0"/>
        <w:spacing w:beforeLines="0" w:afterLines="0"/>
        <w:ind w:left="540"/>
        <w:jc w:val="center"/>
        <w:rPr>
          <w:rFonts w:hint="default" w:ascii="Times New Roman" w:hAnsi="Times New Roman" w:cs="Times New Roman"/>
          <w:i/>
          <w:iCs/>
          <w:sz w:val="30"/>
          <w:szCs w:val="30"/>
        </w:rPr>
      </w:pPr>
      <w:r>
        <w:rPr>
          <w:rFonts w:hint="default" w:ascii="Times New Roman" w:hAnsi="Times New Roman" w:cs="Times New Roman"/>
          <w:i/>
          <w:iCs/>
          <w:sz w:val="30"/>
          <w:szCs w:val="30"/>
        </w:rPr>
        <w:t>Первоначальный текст документа опубликован</w:t>
      </w:r>
    </w:p>
    <w:p>
      <w:pPr>
        <w:autoSpaceDE w:val="0"/>
        <w:autoSpaceDN w:val="0"/>
        <w:adjustRightInd w:val="0"/>
        <w:spacing w:beforeLines="0" w:afterLines="0"/>
        <w:ind w:left="540"/>
        <w:jc w:val="center"/>
        <w:rPr>
          <w:rFonts w:hint="default" w:ascii="Times New Roman" w:hAnsi="Times New Roman" w:cs="Times New Roman"/>
          <w:i/>
          <w:iCs/>
          <w:sz w:val="30"/>
          <w:szCs w:val="30"/>
        </w:rPr>
      </w:pPr>
      <w:r>
        <w:rPr>
          <w:rFonts w:hint="default" w:ascii="Times New Roman" w:hAnsi="Times New Roman" w:cs="Times New Roman"/>
          <w:i/>
          <w:iCs/>
          <w:sz w:val="30"/>
          <w:szCs w:val="30"/>
        </w:rPr>
        <w:t>"Национальный реестр правовых актов Республики Беларусь", 25.01.2002, N 10, 2/839,</w:t>
      </w:r>
    </w:p>
    <w:p>
      <w:pPr>
        <w:autoSpaceDE w:val="0"/>
        <w:autoSpaceDN w:val="0"/>
        <w:adjustRightInd w:val="0"/>
        <w:spacing w:beforeLines="0" w:afterLines="0"/>
        <w:ind w:left="540"/>
        <w:jc w:val="center"/>
        <w:rPr>
          <w:rFonts w:hint="default" w:ascii="Times New Roman" w:hAnsi="Times New Roman" w:cs="Times New Roman"/>
          <w:i/>
          <w:iCs/>
          <w:sz w:val="30"/>
          <w:szCs w:val="30"/>
        </w:rPr>
      </w:pPr>
      <w:r>
        <w:rPr>
          <w:rFonts w:hint="default" w:ascii="Times New Roman" w:hAnsi="Times New Roman" w:cs="Times New Roman"/>
          <w:i/>
          <w:iCs/>
          <w:sz w:val="30"/>
          <w:szCs w:val="30"/>
        </w:rPr>
        <w:t>"Народная газета", N 27, 05.02.2002,</w:t>
      </w:r>
    </w:p>
    <w:p>
      <w:pPr>
        <w:autoSpaceDE w:val="0"/>
        <w:autoSpaceDN w:val="0"/>
        <w:adjustRightInd w:val="0"/>
        <w:spacing w:beforeLines="0" w:afterLines="0"/>
        <w:ind w:left="540"/>
        <w:jc w:val="center"/>
        <w:rPr>
          <w:rFonts w:hint="default" w:ascii="Times New Roman" w:hAnsi="Times New Roman" w:cs="Times New Roman"/>
          <w:i/>
          <w:iCs/>
          <w:sz w:val="30"/>
          <w:szCs w:val="30"/>
        </w:rPr>
      </w:pPr>
      <w:r>
        <w:rPr>
          <w:rFonts w:hint="default" w:ascii="Times New Roman" w:hAnsi="Times New Roman" w:cs="Times New Roman"/>
          <w:i/>
          <w:iCs/>
          <w:sz w:val="30"/>
          <w:szCs w:val="30"/>
        </w:rPr>
        <w:t>"Звязда", N 55-56, 20.03.2002</w:t>
      </w:r>
    </w:p>
    <w:p>
      <w:pPr>
        <w:pStyle w:val="37"/>
        <w:keepNext w:val="0"/>
        <w:keepLines w:val="0"/>
        <w:widowControl/>
        <w:suppressLineNumbers w:val="0"/>
        <w:ind w:left="0" w:firstLine="0"/>
        <w:jc w:val="center"/>
        <w:rPr>
          <w:rStyle w:val="21"/>
          <w:rFonts w:hint="default" w:ascii="Times New Roman" w:hAnsi="Times New Roman" w:cs="Times New Roman"/>
          <w:sz w:val="30"/>
          <w:szCs w:val="30"/>
        </w:rPr>
      </w:pPr>
    </w:p>
    <w:p>
      <w:pPr>
        <w:pStyle w:val="37"/>
        <w:keepNext w:val="0"/>
        <w:keepLines w:val="0"/>
        <w:widowControl/>
        <w:suppressLineNumbers w:val="0"/>
        <w:ind w:left="0" w:firstLine="0"/>
        <w:jc w:val="center"/>
        <w:rPr>
          <w:rFonts w:hint="default" w:ascii="Times New Roman" w:hAnsi="Times New Roman" w:cs="Times New Roman"/>
          <w:sz w:val="30"/>
          <w:szCs w:val="30"/>
        </w:rPr>
      </w:pPr>
      <w:bookmarkStart w:id="0" w:name="_GoBack"/>
      <w:bookmarkEnd w:id="0"/>
      <w:r>
        <w:rPr>
          <w:rStyle w:val="21"/>
          <w:rFonts w:hint="default" w:ascii="Times New Roman" w:hAnsi="Times New Roman" w:cs="Times New Roman"/>
          <w:sz w:val="30"/>
          <w:szCs w:val="30"/>
        </w:rPr>
        <w:t>ЗАКОН РЕСПУБЛИКИ БЕЛАРУСЬ</w:t>
      </w:r>
    </w:p>
    <w:p>
      <w:pPr>
        <w:pStyle w:val="37"/>
        <w:keepNext w:val="0"/>
        <w:keepLines w:val="0"/>
        <w:widowControl/>
        <w:suppressLineNumbers w:val="0"/>
        <w:ind w:left="0" w:firstLine="0"/>
        <w:jc w:val="center"/>
        <w:rPr>
          <w:rFonts w:hint="default" w:ascii="Times New Roman" w:hAnsi="Times New Roman" w:cs="Times New Roman"/>
          <w:sz w:val="30"/>
          <w:szCs w:val="30"/>
        </w:rPr>
      </w:pPr>
      <w:r>
        <w:rPr>
          <w:rStyle w:val="22"/>
          <w:rFonts w:hint="default" w:ascii="Times New Roman" w:hAnsi="Times New Roman" w:cs="Times New Roman"/>
          <w:sz w:val="30"/>
          <w:szCs w:val="30"/>
        </w:rPr>
        <w:t>9 января 2002 г.</w:t>
      </w:r>
      <w:r>
        <w:rPr>
          <w:rStyle w:val="12"/>
          <w:rFonts w:hint="default" w:ascii="Times New Roman" w:hAnsi="Times New Roman" w:cs="Times New Roman"/>
          <w:sz w:val="30"/>
          <w:szCs w:val="30"/>
        </w:rPr>
        <w:t xml:space="preserve"> № 90-З</w:t>
      </w:r>
    </w:p>
    <w:p>
      <w:pPr>
        <w:pStyle w:val="3"/>
        <w:rPr>
          <w:rFonts w:hint="default" w:ascii="Times New Roman" w:hAnsi="Times New Roman" w:cs="Times New Roman"/>
          <w:sz w:val="30"/>
          <w:szCs w:val="30"/>
        </w:rPr>
      </w:pPr>
      <w:r>
        <w:rPr>
          <w:rFonts w:hint="default" w:ascii="Times New Roman" w:hAnsi="Times New Roman" w:cs="Times New Roman"/>
          <w:sz w:val="30"/>
          <w:szCs w:val="30"/>
        </w:rPr>
        <w:t>О защите прав потребителей</w:t>
      </w:r>
    </w:p>
    <w:p>
      <w:pPr>
        <w:pStyle w:val="13"/>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Принят Палатой представителей 5 декабря 2001 года</w:t>
      </w:r>
      <w:r>
        <w:rPr>
          <w:rFonts w:hint="default" w:ascii="Times New Roman" w:hAnsi="Times New Roman" w:cs="Times New Roman"/>
          <w:sz w:val="30"/>
          <w:szCs w:val="30"/>
        </w:rPr>
        <w:br w:type="textWrapping"/>
      </w:r>
      <w:r>
        <w:rPr>
          <w:rFonts w:hint="default" w:ascii="Times New Roman" w:hAnsi="Times New Roman" w:cs="Times New Roman"/>
          <w:sz w:val="30"/>
          <w:szCs w:val="30"/>
        </w:rPr>
        <w:t>Одобрен Советом Республики 20 декабря 2001 года</w:t>
      </w:r>
    </w:p>
    <w:p>
      <w:pPr>
        <w:pStyle w:val="36"/>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Изменения и дополнения:</w:t>
      </w:r>
    </w:p>
    <w:p>
      <w:pPr>
        <w:pStyle w:val="35"/>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Закон Республики Беларусь от 4 января 2003 г. № 183-З (Национальный реестр правовых актов Республики Беларусь, 2003 г., № 8, 2/932) &lt;H10300183&gt;;</w:t>
      </w:r>
    </w:p>
    <w:p>
      <w:pPr>
        <w:pStyle w:val="35"/>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Закон Республики Беларусь от 29 июня 2006 г. № 137-З (Национальный реестр правовых актов Республики Беларусь, 2006 г., № 107, 2/1235) &lt;H10600137&gt;;</w:t>
      </w:r>
    </w:p>
    <w:p>
      <w:pPr>
        <w:pStyle w:val="35"/>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Закон Республики Беларусь от 20 июля 2006 г. № 162-З (Национальный реестр правовых актов Республики Беларусь, 2006 г., № 122, 2/1259) &lt;H10600162&gt;;</w:t>
      </w:r>
    </w:p>
    <w:p>
      <w:pPr>
        <w:pStyle w:val="35"/>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Закон Республики Беларусь от 8 июля 2008 г. № 366-З (Национальный реестр правовых актов Республики Беларусь, 2008 г., № 170, 2/1463) – новая редакция &lt;H10800366&gt;;</w:t>
      </w:r>
    </w:p>
    <w:p>
      <w:pPr>
        <w:pStyle w:val="35"/>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Закон Республики Беларусь от 2 мая 2012 г. № 353-З (Национальный реестр правовых актов Республики Беларусь, 2012 г., № 52, 2/1905) &lt;H11200353&gt;;</w:t>
      </w:r>
    </w:p>
    <w:p>
      <w:pPr>
        <w:pStyle w:val="35"/>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Закон Республики Беларусь от 4 января 2014 г. № 106-З (Национальный правовой Интернет-портал Республики Беларусь, 11.01.2014, 2/2104) &lt;H11400106&gt;;</w:t>
      </w:r>
    </w:p>
    <w:p>
      <w:pPr>
        <w:pStyle w:val="35"/>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Закон Республики Беларусь от 29 октября 2015 г. № 313-З (Национальный правовой Интернет-портал Республики Беларусь, 03.11.2015, 2/2311) &lt;H11500313&gt;;</w:t>
      </w:r>
    </w:p>
    <w:p>
      <w:pPr>
        <w:pStyle w:val="35"/>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Закон Республики Беларусь от 13 июня 2018 г. № 111-З (Национальный правовой Интернет-портал Республики Беларусь, 22.06.2018, 2/2549) &lt;H11800111&gt;</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 </w:t>
      </w:r>
    </w:p>
    <w:p>
      <w:pPr>
        <w:pStyle w:val="30"/>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ГЛАВА 1</w:t>
      </w:r>
      <w:r>
        <w:rPr>
          <w:rFonts w:hint="default" w:ascii="Times New Roman" w:hAnsi="Times New Roman" w:cs="Times New Roman"/>
          <w:sz w:val="30"/>
          <w:szCs w:val="30"/>
        </w:rPr>
        <w:br w:type="textWrapping"/>
      </w:r>
      <w:r>
        <w:rPr>
          <w:rFonts w:hint="default" w:ascii="Times New Roman" w:hAnsi="Times New Roman" w:cs="Times New Roman"/>
          <w:sz w:val="30"/>
          <w:szCs w:val="30"/>
        </w:rPr>
        <w:t>ОБЩИЕ ПОЛОЖЕНИЯ</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1. Основные термины и их определения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В настоящем Законе применяются следующие основные термины и их определения: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количество товара (результата работы) – вес, объем, длина, площадь или количество единиц товара (результата работы);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крупногабаритный товар – товар, размер которого в сумме трех измерений (высота, ширина, длина) превышает 150 сантиметров;</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срок годности – срок, по истечении которого товар (результат работы) считается непригодным для использования по назначению;</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2. Сфера действия настоящего Закона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 Правовое регулирование отношений в области защиты прав потребителей</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4. Международные договоры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5. Права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Потребитель имеет право на:</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 просвещение в области защиты прав потребителей;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1.2. информацию о товарах (работах, услугах), а также об их изготовителях (продавцах, поставщиках, исполнителях);</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1.3. свободный выбор товаров (работ, услуг);</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1.7. общественную защиту своих прав;</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1.8. создание общественных объединений потребителей.</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Потребитель имеет и иные права, предусмотренные настоящим Законом и иным законодательством.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Государство гарантирует защиту прав и законных интересов потребителей.</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6. Обеспечение права потребителя на просвещение в области защиты прав потребителей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7. Информация о товарах (работах, услугах)</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2.1. наименование товара (работы, услуги);</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2.2. виды и особенности предлагаемых работ (услуг);</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2.5. цену и условия оплаты товаров (работ, услуг), если эти условия отличаются от обычных условий оплаты соответствующих товаров (работ, услуг);</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2.6. гарантийный срок, если он установлен;</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2.9</w:t>
      </w:r>
      <w:r>
        <w:rPr>
          <w:rFonts w:hint="default" w:ascii="Times New Roman" w:hAnsi="Times New Roman" w:cs="Times New Roman"/>
          <w:sz w:val="30"/>
          <w:szCs w:val="30"/>
          <w:vertAlign w:val="superscript"/>
        </w:rPr>
        <w:t>1</w:t>
      </w:r>
      <w:r>
        <w:rPr>
          <w:rFonts w:hint="default" w:ascii="Times New Roman" w:hAnsi="Times New Roman" w:cs="Times New Roman"/>
          <w:sz w:val="30"/>
          <w:szCs w:val="30"/>
        </w:rPr>
        <w:t>. страну происхождения товара, если она не совпадает с местом нахождения (местом жительства) изготовителя;</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2.12. количество или комплектность товара (результата работы);</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2.13. штриховой идентификационный код, если обязательное маркирование товаров таким кодом предусмотрено законодательством;</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2.13</w:t>
      </w:r>
      <w:r>
        <w:rPr>
          <w:rFonts w:hint="default" w:ascii="Times New Roman" w:hAnsi="Times New Roman" w:cs="Times New Roman"/>
          <w:sz w:val="30"/>
          <w:szCs w:val="30"/>
          <w:vertAlign w:val="superscript"/>
        </w:rPr>
        <w:t>1</w:t>
      </w:r>
      <w:r>
        <w:rPr>
          <w:rFonts w:hint="default" w:ascii="Times New Roman" w:hAnsi="Times New Roman" w:cs="Times New Roman"/>
          <w:sz w:val="30"/>
          <w:szCs w:val="30"/>
        </w:rPr>
        <w:t>.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2.15. указание на использование фонограмм исполнителями музыкальных произведений при проведении культурно-зрелищных мероприятий;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4.1. до момента заключения договора – информацию, предусмотренную подпунктами 2.1–2.12, 2.13</w:t>
      </w:r>
      <w:r>
        <w:rPr>
          <w:rFonts w:hint="default" w:ascii="Times New Roman" w:hAnsi="Times New Roman" w:cs="Times New Roman"/>
          <w:sz w:val="30"/>
          <w:szCs w:val="30"/>
          <w:vertAlign w:val="superscript"/>
        </w:rPr>
        <w:t>1</w:t>
      </w:r>
      <w:r>
        <w:rPr>
          <w:rFonts w:hint="default" w:ascii="Times New Roman" w:hAnsi="Times New Roman" w:cs="Times New Roman"/>
          <w:sz w:val="30"/>
          <w:szCs w:val="30"/>
        </w:rP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4.2. при доставке товара – также информацию, предусмотренную подпунктами 2.13 и 2.14 пункта 2 настоящей статьи.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случаев, если она была сообщена или передана на иностранном языке по желанию потребителя.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Pr>
          <w:rFonts w:hint="default" w:ascii="Times New Roman" w:hAnsi="Times New Roman" w:cs="Times New Roman"/>
          <w:sz w:val="30"/>
          <w:szCs w:val="30"/>
          <w:vertAlign w:val="superscript"/>
        </w:rPr>
        <w:t>1</w:t>
      </w:r>
      <w:r>
        <w:rPr>
          <w:rFonts w:hint="default" w:ascii="Times New Roman" w:hAnsi="Times New Roman" w:cs="Times New Roman"/>
          <w:sz w:val="30"/>
          <w:szCs w:val="30"/>
        </w:rPr>
        <w:t xml:space="preserve">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Pr>
          <w:rFonts w:hint="default" w:ascii="Times New Roman" w:hAnsi="Times New Roman" w:cs="Times New Roman"/>
          <w:sz w:val="30"/>
          <w:szCs w:val="30"/>
          <w:vertAlign w:val="superscript"/>
        </w:rPr>
        <w:t>1</w:t>
      </w:r>
      <w:r>
        <w:rPr>
          <w:rFonts w:hint="default" w:ascii="Times New Roman" w:hAnsi="Times New Roman" w:cs="Times New Roman"/>
          <w:sz w:val="30"/>
          <w:szCs w:val="30"/>
        </w:rPr>
        <w:t xml:space="preserve">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8. Информация об изготовителях (исполнителях, продавцах)</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9</w:t>
      </w:r>
      <w:r>
        <w:rPr>
          <w:rFonts w:hint="default" w:ascii="Times New Roman" w:hAnsi="Times New Roman" w:cs="Times New Roman"/>
          <w:sz w:val="30"/>
          <w:szCs w:val="30"/>
          <w:vertAlign w:val="superscript"/>
        </w:rPr>
        <w:t>1</w:t>
      </w:r>
      <w:r>
        <w:rPr>
          <w:rFonts w:hint="default" w:ascii="Times New Roman" w:hAnsi="Times New Roman" w:cs="Times New Roman"/>
          <w:sz w:val="30"/>
          <w:szCs w:val="30"/>
        </w:rPr>
        <w:t>. Оплата товаров (работ, услуг)</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Расчеты по оплате товаров (работ, услуг) осуществляются в наличной и безналичной формах.</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9</w:t>
      </w:r>
      <w:r>
        <w:rPr>
          <w:rFonts w:hint="default" w:ascii="Times New Roman" w:hAnsi="Times New Roman" w:cs="Times New Roman"/>
          <w:sz w:val="30"/>
          <w:szCs w:val="30"/>
          <w:vertAlign w:val="superscript"/>
        </w:rPr>
        <w:t>2</w:t>
      </w:r>
      <w:r>
        <w:rPr>
          <w:rFonts w:hint="default" w:ascii="Times New Roman" w:hAnsi="Times New Roman" w:cs="Times New Roman"/>
          <w:sz w:val="30"/>
          <w:szCs w:val="30"/>
        </w:rPr>
        <w:t>. Реализация товаров (выполнение работ, оказание услуг) по подарочному сертификату или иному подобному документу</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10. Право потребителя на свободный выбор товара (работы,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Продавец (изготовитель, исполнитель) обязан оказывать содействие потребителю в свободном выборе товара (работы,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11. Право потребителя на надлежащие качество товара (работы, услуги), комплектность, количество товара (результата работы)</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12. Обязанности изготовителя (исполнителя, продавца, поставщика, представителя) по обеспечению безопасности товара (работы,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pPr>
        <w:pStyle w:val="30"/>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ГЛАВА 2</w:t>
      </w:r>
      <w:r>
        <w:rPr>
          <w:rFonts w:hint="default" w:ascii="Times New Roman" w:hAnsi="Times New Roman" w:cs="Times New Roman"/>
          <w:sz w:val="30"/>
          <w:szCs w:val="30"/>
        </w:rPr>
        <w:br w:type="textWrapping"/>
      </w:r>
      <w:r>
        <w:rPr>
          <w:rFonts w:hint="default" w:ascii="Times New Roman" w:hAnsi="Times New Roman" w:cs="Times New Roman"/>
          <w:sz w:val="30"/>
          <w:szCs w:val="30"/>
        </w:rPr>
        <w:t>ГРАЖДАНСКО-ПРАВОВАЯ ОТВЕТСТВЕННОСТЬ ЗА НАРУШЕНИЕ ПРАВ ПОТРЕБИТЕЛЯ</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Убытки, причиненные потребителю, подлежат возмещению в полном объеме сверх неустойки, установленной законодательством или договором.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18. Компенсация морального вреда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19. Недействительность условий договора, ограничивающих права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pPr>
        <w:pStyle w:val="30"/>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ГЛАВА 3</w:t>
      </w:r>
      <w:r>
        <w:rPr>
          <w:rFonts w:hint="default" w:ascii="Times New Roman" w:hAnsi="Times New Roman" w:cs="Times New Roman"/>
          <w:sz w:val="30"/>
          <w:szCs w:val="30"/>
        </w:rPr>
        <w:br w:type="textWrapping"/>
      </w:r>
      <w:r>
        <w:rPr>
          <w:rFonts w:hint="default" w:ascii="Times New Roman" w:hAnsi="Times New Roman" w:cs="Times New Roman"/>
          <w:sz w:val="30"/>
          <w:szCs w:val="30"/>
        </w:rPr>
        <w:t>ЗАЩИТА ПРАВ ПОТРЕБИТЕЛЯ ПРИ РЕАЛИЗАЦИИ ЕМУ ТОВАРА</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20. Права потребителя в случае реализации товара ненадлежащего качества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 замены недоброкачественного товара товаром надлежащего качества;</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1.2. соразмерного уменьшения покупной цены товара;</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1.3. незамедлительного безвозмездного устранения недостатков товара;</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1.4. возмещения расходов по устранению недостатков товара.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Требования, указанные в пунктах 1–3 настоящей статьи, предъявляются потребителем продавцу.</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Потребитель вправе предъявить требования, указанные в подпунктах 1.1, 1.3 и 1.4 пункта 1 настоящей статьи, изготовителю.</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9. Потребитель вправе предъявить требование о незамедлительном безвозмездном устранении недостатков товара ремонтной организации.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21. Сроки предъявления потребителем требований в отношении недостатков товара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22. Безвозмездное устранение недостатков товара продавцом (изготовителем, поставщиком, представителем, ремонтной организацией)</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23. Замена товара ненадлежащего качества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Товар ненадлежащего качества должен быть заменен на новый, то есть на товар, не бывший в употреблении.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При замене товара гарантийный срок исчисляется заново со дня передачи товара потребителю.</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24. Права потребителя при нарушении продавцом сроков передачи предварительно оплаченного товара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2.1. передачи оплаченного товара в установленный им новый срок;</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2.2. возврата суммы предварительной оплаты за товар, не переданный продавцом.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25. Сроки удовлетворения отдельных требований потребителя в случае приобретения им товара ненадлежащего качества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27. Расчеты с потребителем в случае приобретения им товара ненадлежащего качества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При замене товара ненадлежащего качества на товар той же модели (марки, типа, артикула и др.) перерасчет цены товара не производится.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28. Право потребителя на обмен и возврат товара надлежащего качества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Пищевые продукты надлежащего качества обмену и возврату не подлежат.</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pPr>
        <w:pStyle w:val="30"/>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ГЛАВА 4</w:t>
      </w:r>
      <w:r>
        <w:rPr>
          <w:rFonts w:hint="default" w:ascii="Times New Roman" w:hAnsi="Times New Roman" w:cs="Times New Roman"/>
          <w:sz w:val="30"/>
          <w:szCs w:val="30"/>
        </w:rPr>
        <w:br w:type="textWrapping"/>
      </w:r>
      <w:r>
        <w:rPr>
          <w:rFonts w:hint="default" w:ascii="Times New Roman" w:hAnsi="Times New Roman" w:cs="Times New Roman"/>
          <w:sz w:val="30"/>
          <w:szCs w:val="30"/>
        </w:rPr>
        <w:t>ЗАЩИТА ПРАВ ПОТРЕБИТЕЛЯ ПРИ ВЫПОЛНЕНИИ РАБОТ (ОКАЗАНИИ УСЛУГ)</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29. Сроки выполнения работ (оказания услуг)</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Исполнитель обязан выполнить работу (оказать услугу) в срок, установленный договором, если иное не предусмотрено законодательством.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30. Последствия нарушения исполнителем сроков выполнения работ (оказания услуг)</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 назначить исполнителю новый срок;</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1.3. потребовать соразмерного уменьшения установленной цены за выполнение работы (оказание услуги);</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1.4. расторгнуть договор о выполнении работы (оказании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Назначенные потребителем новые сроки выполнения работы (оказания услуги) указываются в договоре о выполнении работы (оказании услуги).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В случае просрочки новых сроков потребитель вправе предъявить исполнителю иные требования, предусмотренные пунктом 1 настоящей статьи.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31. Права потребителя при обнаружении недостатков выполненной работы (оказанной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 безвозмездного устранения недостатков выполненной работы (оказанной услуги);</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1.2. соразмерного уменьшения установленной цены выполненной работы (оказанной услуги);</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1.4. возмещения понесенных им расходов по устранению недостатков выполненной работы (оказанной услуги) своими силами или третьими лицами.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Потребитель вправе оспорить заключение экспертизы результата выполненной работы (оказанной услуги) в судебном порядке.</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 Гарантийный срок результата работы (услуги) исчисляется с момента передачи результата работы потребителю (окончания оказания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12. Срок службы результата работы исчисляется со дня окончания выполнения работы.</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32. Сроки устранения недостатков выполненной работы (оказанной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33. Сроки удовлетворения отдельных требований потребителя при выполнении работ (оказании услуг)</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34. Смета либо калькуляция на выполнение работы (оказание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35. Выполнение работы (оказание услуги) из материала исполнителя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36. Выполнение работы (оказание услуги) из материала (с вещью)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Исполнитель обязан:</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3.1. предупредить потребителя о непригодности или недоброкачественности переданного потребителем материала (вещи);</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38. Порядок расчетов за выполненную работу (оказанную услугу)</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Порядок расчетов за выполненную работу (оказанную услугу) определяется договором между потребителем и исполнителем.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38</w:t>
      </w:r>
      <w:r>
        <w:rPr>
          <w:rFonts w:hint="default" w:ascii="Times New Roman" w:hAnsi="Times New Roman" w:cs="Times New Roman"/>
          <w:sz w:val="30"/>
          <w:szCs w:val="30"/>
          <w:vertAlign w:val="superscript"/>
        </w:rPr>
        <w:t>1</w:t>
      </w:r>
      <w:r>
        <w:rPr>
          <w:rFonts w:hint="default" w:ascii="Times New Roman" w:hAnsi="Times New Roman" w:cs="Times New Roman"/>
          <w:sz w:val="30"/>
          <w:szCs w:val="30"/>
        </w:rPr>
        <w:t>. Право потребителя на односторонний отказ от исполнения договора о выполнении работы (оказании услуги)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39. Правила бытового и иных видов обслуживания потребителей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40. Регулирование выполнения отдельных видов работ (оказания отдельных видов услуг)</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pPr>
        <w:pStyle w:val="30"/>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ГЛАВА 5</w:t>
      </w:r>
      <w:r>
        <w:rPr>
          <w:rFonts w:hint="default" w:ascii="Times New Roman" w:hAnsi="Times New Roman" w:cs="Times New Roman"/>
          <w:sz w:val="30"/>
          <w:szCs w:val="30"/>
        </w:rPr>
        <w:br w:type="textWrapping"/>
      </w:r>
      <w:r>
        <w:rPr>
          <w:rFonts w:hint="default" w:ascii="Times New Roman" w:hAnsi="Times New Roman" w:cs="Times New Roman"/>
          <w:sz w:val="30"/>
          <w:szCs w:val="30"/>
        </w:rPr>
        <w:t>ГОСУДАРСТВЕННАЯ ЗАЩИТА ПРАВ ПОТРЕБИТЕЛЯ</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41. Государственные органы, иные государственные организации, осуществляющие защиту прав потребителей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рассматривают обращения потребителей в соответствии с законодательством об обращениях граждан и юридических лиц;</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осуществляют информирование потребителей по вопросам, относящимся к их компетенции в области защиты прав потребителей;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принимают в пределах своей компетенции иные меры в целях защиты прав потребителей, предусмотренные законодательством.</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42. Полномочия Министерства антимонопольного регулирования и торговли Республики Беларусь в области защиты прав потребителей</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Министерство антимонопольного регулирования и торговли Республики Беларусь:</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w:t>
      </w:r>
      <w:r>
        <w:rPr>
          <w:rFonts w:hint="default" w:ascii="Times New Roman" w:hAnsi="Times New Roman" w:cs="Times New Roman"/>
          <w:sz w:val="30"/>
          <w:szCs w:val="30"/>
          <w:vertAlign w:val="superscript"/>
        </w:rPr>
        <w:t>1</w:t>
      </w:r>
      <w:r>
        <w:rPr>
          <w:rFonts w:hint="default" w:ascii="Times New Roman" w:hAnsi="Times New Roman" w:cs="Times New Roman"/>
          <w:sz w:val="30"/>
          <w:szCs w:val="30"/>
        </w:rP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1.5. имеет право обращаться в суд с иском о защите прав неопределенного круга потребителей в случае нарушения прав потребителей;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1.7. осуществляет разъяснение вопросов применения настоящего Закона и иного законодательства о защите прав потребителей;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1.8. осуществляет иные права по защите прав потребителей, предусмотренные законодательством.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43. Полномочия местных исполнительных и распорядительных органов в области защиты прав потребителей</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В целях защиты прав потребителей местные исполнительные и распорядительные органы обязаны:</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рассматривать обращения потребителей в соответствии с законодательством об обращениях граждан и юридических лиц;</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организовывать разъяснение законодательства и консультировать население по вопросам защиты прав потребителей;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обращаться в суд с иском о защите прав потребителя;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осуществлять иные функции по защите прав потребителей, предусмотренные законодательством.</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44. Судебная защита прав потребителей</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Защита прав потребителей в судебном порядке осуществляется в соответствии с законодательными актами.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45. Обжалование предписаний и решений уполномоченных государственных органов по защите прав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Обжалование в установленном порядке предписаний и решений в сроки, предусмотренные законодательством, приостанавливает их исполнение.</w:t>
      </w:r>
    </w:p>
    <w:p>
      <w:pPr>
        <w:pStyle w:val="30"/>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ГЛАВА 6</w:t>
      </w:r>
      <w:r>
        <w:rPr>
          <w:rFonts w:hint="default" w:ascii="Times New Roman" w:hAnsi="Times New Roman" w:cs="Times New Roman"/>
          <w:sz w:val="30"/>
          <w:szCs w:val="30"/>
        </w:rPr>
        <w:br w:type="textWrapping"/>
      </w:r>
      <w:r>
        <w:rPr>
          <w:rFonts w:hint="default" w:ascii="Times New Roman" w:hAnsi="Times New Roman" w:cs="Times New Roman"/>
          <w:sz w:val="30"/>
          <w:szCs w:val="30"/>
        </w:rPr>
        <w:t>ОБЩЕСТВЕННАЯ ЗАЩИТА ПРАВ ПОТРЕБИТЕЛЯ</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46. Право потребителей на создание общественных объединений потребителей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47. Права общественных объединений потребителей</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Общественные объединения потребителей имеют право:</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1.5. осуществлять информационно-просветительскую деятельность в области защиты прав потребителей;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1.5</w:t>
      </w:r>
      <w:r>
        <w:rPr>
          <w:rFonts w:hint="default" w:ascii="Times New Roman" w:hAnsi="Times New Roman" w:cs="Times New Roman"/>
          <w:sz w:val="30"/>
          <w:szCs w:val="30"/>
          <w:vertAlign w:val="superscript"/>
        </w:rPr>
        <w:t>1</w:t>
      </w:r>
      <w:r>
        <w:rPr>
          <w:rFonts w:hint="default" w:ascii="Times New Roman" w:hAnsi="Times New Roman" w:cs="Times New Roman"/>
          <w:sz w:val="30"/>
          <w:szCs w:val="30"/>
        </w:rPr>
        <w:t>. осуществлять издательскую деятельность в области защиты прав потребителей в порядке, установленном законодательством;</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1.6. давать на безвозмездной основе консультации потребителю по вопросам защиты его прав;</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pPr>
        <w:pStyle w:val="34"/>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Общественные объединения потребителей могут иметь иные права, предусмотренные законодательными актами.</w:t>
      </w:r>
    </w:p>
    <w:p>
      <w:pPr>
        <w:pStyle w:val="17"/>
        <w:rPr>
          <w:rFonts w:hint="default" w:ascii="Times New Roman" w:hAnsi="Times New Roman" w:cs="Times New Roman"/>
          <w:sz w:val="30"/>
          <w:szCs w:val="30"/>
        </w:rPr>
      </w:pPr>
      <w:r>
        <w:rPr>
          <w:rFonts w:hint="default" w:ascii="Times New Roman" w:hAnsi="Times New Roman" w:cs="Times New Roman"/>
          <w:sz w:val="30"/>
          <w:szCs w:val="30"/>
        </w:rPr>
        <w:t>Статья 48. Особенности реализации отдельных прав общественных объединений потребителей</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по решению суда, вынесенному по иску о защите прав потребителя, с которым обращалось общественное объединение потребителей.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отметка о причинах отказа в удовлетворении замечаний и (или) предложений потребителя, изложенных в книге замечаний и предложений;</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pPr>
        <w:pStyle w:val="32"/>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pPr>
        <w:pStyle w:val="37"/>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 </w:t>
      </w:r>
    </w:p>
    <w:tbl>
      <w:tblPr>
        <w:tblStyle w:val="38"/>
        <w:tblW w:w="9380" w:type="dxa"/>
        <w:tblInd w:w="0" w:type="dxa"/>
        <w:shd w:val="clear" w:color="auto" w:fill="auto"/>
        <w:tblLayout w:type="fixed"/>
        <w:tblCellMar>
          <w:top w:w="0" w:type="dxa"/>
          <w:left w:w="0" w:type="dxa"/>
          <w:bottom w:w="0" w:type="dxa"/>
          <w:right w:w="0" w:type="dxa"/>
        </w:tblCellMar>
      </w:tblPr>
      <w:tblGrid>
        <w:gridCol w:w="4690"/>
        <w:gridCol w:w="4690"/>
      </w:tblGrid>
      <w:tr>
        <w:tblPrEx>
          <w:shd w:val="clear" w:color="auto" w:fill="auto"/>
          <w:tblLayout w:type="fixed"/>
          <w:tblCellMar>
            <w:top w:w="0" w:type="dxa"/>
            <w:left w:w="0" w:type="dxa"/>
            <w:bottom w:w="0" w:type="dxa"/>
            <w:right w:w="0" w:type="dxa"/>
          </w:tblCellMar>
        </w:tblPrEx>
        <w:tc>
          <w:tcPr>
            <w:tcW w:w="4690" w:type="dxa"/>
            <w:shd w:val="clear" w:color="auto" w:fill="auto"/>
            <w:tcMar>
              <w:top w:w="0" w:type="dxa"/>
              <w:left w:w="0" w:type="dxa"/>
              <w:bottom w:w="0" w:type="dxa"/>
              <w:right w:w="0" w:type="dxa"/>
            </w:tcMar>
            <w:vAlign w:val="bottom"/>
          </w:tcPr>
          <w:p>
            <w:pPr>
              <w:pStyle w:val="33"/>
              <w:keepNext w:val="0"/>
              <w:keepLines w:val="0"/>
              <w:widowControl/>
              <w:suppressLineNumbers w:val="0"/>
              <w:jc w:val="left"/>
              <w:rPr>
                <w:rFonts w:hint="default" w:ascii="Times New Roman" w:hAnsi="Times New Roman" w:cs="Times New Roman"/>
                <w:sz w:val="30"/>
                <w:szCs w:val="30"/>
              </w:rPr>
            </w:pPr>
            <w:r>
              <w:rPr>
                <w:rStyle w:val="27"/>
                <w:rFonts w:hint="default" w:ascii="Times New Roman" w:hAnsi="Times New Roman" w:cs="Times New Roman"/>
                <w:sz w:val="30"/>
                <w:szCs w:val="30"/>
              </w:rPr>
              <w:t>Президент Республики Беларусь</w:t>
            </w:r>
          </w:p>
        </w:tc>
        <w:tc>
          <w:tcPr>
            <w:tcW w:w="4690" w:type="dxa"/>
            <w:shd w:val="clear" w:color="auto" w:fill="auto"/>
            <w:tcMar>
              <w:top w:w="0" w:type="dxa"/>
              <w:left w:w="0" w:type="dxa"/>
              <w:bottom w:w="0" w:type="dxa"/>
              <w:right w:w="0" w:type="dxa"/>
            </w:tcMar>
            <w:vAlign w:val="bottom"/>
          </w:tcPr>
          <w:p>
            <w:pPr>
              <w:pStyle w:val="33"/>
              <w:keepNext w:val="0"/>
              <w:keepLines w:val="0"/>
              <w:widowControl/>
              <w:suppressLineNumbers w:val="0"/>
              <w:jc w:val="right"/>
              <w:rPr>
                <w:rFonts w:hint="default" w:ascii="Times New Roman" w:hAnsi="Times New Roman" w:cs="Times New Roman"/>
                <w:sz w:val="30"/>
                <w:szCs w:val="30"/>
              </w:rPr>
            </w:pPr>
            <w:r>
              <w:rPr>
                <w:rStyle w:val="29"/>
                <w:rFonts w:hint="default" w:ascii="Times New Roman" w:hAnsi="Times New Roman" w:cs="Times New Roman"/>
                <w:sz w:val="30"/>
                <w:szCs w:val="30"/>
              </w:rPr>
              <w:t>А.Лукашенко</w:t>
            </w:r>
          </w:p>
        </w:tc>
      </w:tr>
    </w:tbl>
    <w:p>
      <w:pPr>
        <w:pStyle w:val="33"/>
        <w:keepNext w:val="0"/>
        <w:keepLines w:val="0"/>
        <w:widowControl/>
        <w:suppressLineNumbers w:val="0"/>
        <w:rPr>
          <w:rFonts w:hint="default" w:ascii="Times New Roman" w:hAnsi="Times New Roman" w:cs="Times New Roman"/>
          <w:sz w:val="30"/>
          <w:szCs w:val="30"/>
        </w:rPr>
      </w:pPr>
      <w:r>
        <w:rPr>
          <w:rFonts w:hint="default" w:ascii="Times New Roman" w:hAnsi="Times New Roman" w:cs="Times New Roman"/>
          <w:sz w:val="30"/>
          <w:szCs w:val="30"/>
        </w:rPr>
        <w:t> </w:t>
      </w:r>
    </w:p>
    <w:p>
      <w:pPr>
        <w:rPr>
          <w:rFonts w:hint="default" w:ascii="Times New Roman" w:hAnsi="Times New Roman" w:cs="Times New Roman"/>
          <w:sz w:val="30"/>
          <w:szCs w:val="30"/>
        </w:rPr>
      </w:pPr>
    </w:p>
    <w:sectPr>
      <w:headerReference r:id="rId3" w:type="default"/>
      <w:pgSz w:w="11900" w:h="16820"/>
      <w:pgMar w:top="560" w:right="1120" w:bottom="560" w:left="1400" w:header="280" w:footer="18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Wingdings 2">
    <w:altName w:val="Wingdings"/>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3">
    <w:altName w:val="Symbo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spacing w:after="0" w:afterLines="0"/>
      <w:rPr>
        <w:rFonts w:hint="default" w:ascii="Times New Roman" w:hAnsi="Times New Roman" w:cs="Times New Roman"/>
        <w:sz w:val="24"/>
      </w:rPr>
    </w:pPr>
    <w:r>
      <w:rPr>
        <w:rStyle w:val="8"/>
        <w:rFonts w:hint="default" w:ascii="Times New Roman" w:hAnsi="Times New Roman" w:cs="Times New Roman"/>
        <w:sz w:val="24"/>
      </w:rPr>
      <w:fldChar w:fldCharType="begin"/>
    </w:r>
    <w:r>
      <w:rPr>
        <w:rStyle w:val="8"/>
        <w:rFonts w:hint="default" w:ascii="Times New Roman" w:hAnsi="Times New Roman" w:cs="Times New Roman"/>
        <w:sz w:val="24"/>
      </w:rPr>
      <w:instrText xml:space="preserve"> PAGE  </w:instrText>
    </w:r>
    <w:r>
      <w:rPr>
        <w:rStyle w:val="8"/>
        <w:rFonts w:hint="default" w:ascii="Times New Roman" w:hAnsi="Times New Roman" w:cs="Times New Roman"/>
        <w:sz w:val="24"/>
      </w:rPr>
      <w:fldChar w:fldCharType="separate"/>
    </w:r>
    <w:r>
      <w:rPr>
        <w:rStyle w:val="8"/>
        <w:rFonts w:hint="default" w:ascii="Times New Roman" w:hAnsi="Times New Roman" w:cs="Times New Roman"/>
        <w:sz w:val="24"/>
      </w:rPr>
      <w:t>1</w:t>
    </w:r>
    <w:r>
      <w:rPr>
        <w:rStyle w:val="8"/>
        <w:rFonts w:hint="default" w:ascii="Times New Roman" w:hAnsi="Times New Roman" w:cs="Times New Roman"/>
        <w:sz w:val="24"/>
      </w:rPr>
      <w:fldChar w:fldCharType="end"/>
    </w:r>
  </w:p>
  <w:p>
    <w:pPr>
      <w:pStyle w:val="2"/>
      <w:rPr>
        <w:rFonts w:hint="default"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D5A77"/>
    <w:rsid w:val="203D5A77"/>
    <w:rsid w:val="396532C5"/>
    <w:rsid w:val="709B4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header"/>
    <w:basedOn w:val="1"/>
    <w:uiPriority w:val="0"/>
    <w:pPr>
      <w:tabs>
        <w:tab w:val="center" w:pos="4153"/>
        <w:tab w:val="right" w:pos="8306"/>
      </w:tabs>
    </w:pPr>
  </w:style>
  <w:style w:type="paragraph" w:styleId="3">
    <w:name w:val="Title"/>
    <w:basedOn w:val="1"/>
    <w:qFormat/>
    <w:uiPriority w:val="0"/>
    <w:pPr>
      <w:keepNext w:val="0"/>
      <w:keepLines w:val="0"/>
      <w:widowControl/>
      <w:suppressLineNumbers w:val="0"/>
      <w:spacing w:before="240" w:beforeAutospacing="0" w:after="240" w:afterAutospacing="0"/>
      <w:ind w:left="0" w:right="2270"/>
      <w:jc w:val="left"/>
    </w:pPr>
    <w:rPr>
      <w:rFonts w:eastAsia="Times New Roman"/>
      <w:b/>
      <w:kern w:val="0"/>
      <w:sz w:val="28"/>
      <w:szCs w:val="28"/>
      <w:lang w:val="en-US" w:eastAsia="zh-CN" w:bidi="ar"/>
    </w:rPr>
  </w:style>
  <w:style w:type="paragraph" w:styleId="4">
    <w:name w:val="footer"/>
    <w:basedOn w:val="1"/>
    <w:uiPriority w:val="0"/>
    <w:pPr>
      <w:tabs>
        <w:tab w:val="center" w:pos="4153"/>
        <w:tab w:val="right" w:pos="8306"/>
      </w:tabs>
    </w:pPr>
  </w:style>
  <w:style w:type="character" w:styleId="6">
    <w:name w:val="FollowedHyperlink"/>
    <w:uiPriority w:val="0"/>
    <w:rPr>
      <w:color w:val="154C94"/>
      <w:u w:val="single"/>
    </w:rPr>
  </w:style>
  <w:style w:type="character" w:styleId="7">
    <w:name w:val="Hyperlink"/>
    <w:uiPriority w:val="0"/>
    <w:rPr>
      <w:color w:val="154C94"/>
      <w:u w:val="single"/>
    </w:rPr>
  </w:style>
  <w:style w:type="character" w:styleId="8">
    <w:name w:val="page number"/>
    <w:basedOn w:val="5"/>
    <w:uiPriority w:val="0"/>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onewind"/>
    <w:uiPriority w:val="0"/>
    <w:rPr>
      <w:rFonts w:ascii="Wingdings" w:hAnsi="Wingdings" w:cs="Wingdings"/>
    </w:rPr>
  </w:style>
  <w:style w:type="character" w:customStyle="1" w:styleId="12">
    <w:name w:val="number"/>
    <w:uiPriority w:val="0"/>
    <w:rPr>
      <w:rFonts w:hint="default" w:ascii="Times New Roman" w:hAnsi="Times New Roman" w:cs="Times New Roman"/>
    </w:rPr>
  </w:style>
  <w:style w:type="paragraph" w:customStyle="1" w:styleId="13">
    <w:name w:val="prinodobren"/>
    <w:basedOn w:val="1"/>
    <w:uiPriority w:val="0"/>
    <w:pPr>
      <w:spacing w:before="240" w:beforeAutospacing="0" w:after="240" w:afterAutospacing="0"/>
      <w:ind w:left="0" w:right="0"/>
      <w:jc w:val="left"/>
    </w:pPr>
    <w:rPr>
      <w:rFonts w:hint="default" w:ascii="Times New Roman" w:hAnsi="Times New Roman" w:cs="Times New Roman"/>
      <w:i/>
      <w:kern w:val="0"/>
      <w:sz w:val="24"/>
      <w:szCs w:val="24"/>
      <w:lang w:val="en-US" w:eastAsia="zh-CN" w:bidi="ar"/>
    </w:rPr>
  </w:style>
  <w:style w:type="character" w:customStyle="1" w:styleId="14">
    <w:name w:val="roman"/>
    <w:uiPriority w:val="0"/>
    <w:rPr>
      <w:rFonts w:ascii="Arial" w:hAnsi="Arial" w:cs="Arial"/>
    </w:rPr>
  </w:style>
  <w:style w:type="character" w:customStyle="1" w:styleId="15">
    <w:name w:val="datecity"/>
    <w:uiPriority w:val="0"/>
    <w:rPr>
      <w:rFonts w:hint="default" w:ascii="Times New Roman" w:hAnsi="Times New Roman" w:cs="Times New Roman"/>
      <w:sz w:val="24"/>
      <w:szCs w:val="24"/>
    </w:rPr>
  </w:style>
  <w:style w:type="character" w:customStyle="1" w:styleId="16">
    <w:name w:val="onewind2"/>
    <w:uiPriority w:val="0"/>
    <w:rPr>
      <w:rFonts w:ascii="Wingdings 2" w:hAnsi="Wingdings 2" w:eastAsia="Wingdings 2" w:cs="Wingdings 2"/>
    </w:rPr>
  </w:style>
  <w:style w:type="paragraph" w:customStyle="1" w:styleId="17">
    <w:name w:val="article"/>
    <w:basedOn w:val="1"/>
    <w:uiPriority w:val="0"/>
    <w:pPr>
      <w:keepNext w:val="0"/>
      <w:keepLines w:val="0"/>
      <w:widowControl/>
      <w:suppressLineNumbers w:val="0"/>
      <w:spacing w:before="240" w:beforeAutospacing="0" w:after="240" w:afterAutospacing="0"/>
      <w:ind w:left="1920" w:right="0" w:hanging="1340"/>
      <w:jc w:val="left"/>
    </w:pPr>
    <w:rPr>
      <w:rFonts w:hint="default" w:ascii="Times New Roman" w:hAnsi="Times New Roman" w:eastAsia="Times New Roman" w:cs="Times New Roman"/>
      <w:b/>
      <w:kern w:val="0"/>
      <w:sz w:val="24"/>
      <w:szCs w:val="24"/>
      <w:lang w:val="en-US" w:eastAsia="zh-CN" w:bidi="ar"/>
    </w:rPr>
  </w:style>
  <w:style w:type="character" w:customStyle="1" w:styleId="18">
    <w:name w:val="promulgator"/>
    <w:uiPriority w:val="0"/>
    <w:rPr>
      <w:rFonts w:hint="default" w:ascii="Times New Roman" w:hAnsi="Times New Roman" w:cs="Times New Roman"/>
      <w:caps/>
    </w:rPr>
  </w:style>
  <w:style w:type="character" w:customStyle="1" w:styleId="19">
    <w:name w:val="rednoun"/>
    <w:uiPriority w:val="0"/>
  </w:style>
  <w:style w:type="character" w:customStyle="1" w:styleId="20">
    <w:name w:val="articlec"/>
    <w:uiPriority w:val="0"/>
    <w:rPr>
      <w:rFonts w:hint="default" w:ascii="Times New Roman" w:hAnsi="Times New Roman" w:cs="Times New Roman"/>
      <w:b/>
    </w:rPr>
  </w:style>
  <w:style w:type="character" w:customStyle="1" w:styleId="21">
    <w:name w:val="name"/>
    <w:uiPriority w:val="0"/>
    <w:rPr>
      <w:rFonts w:hint="default" w:ascii="Times New Roman" w:hAnsi="Times New Roman" w:cs="Times New Roman"/>
      <w:caps/>
    </w:rPr>
  </w:style>
  <w:style w:type="character" w:customStyle="1" w:styleId="22">
    <w:name w:val="datepr"/>
    <w:uiPriority w:val="0"/>
    <w:rPr>
      <w:rFonts w:hint="default" w:ascii="Times New Roman" w:hAnsi="Times New Roman" w:cs="Times New Roman"/>
    </w:rPr>
  </w:style>
  <w:style w:type="character" w:customStyle="1" w:styleId="23">
    <w:name w:val="datereg"/>
    <w:uiPriority w:val="0"/>
    <w:rPr>
      <w:rFonts w:hint="default" w:ascii="Times New Roman" w:hAnsi="Times New Roman" w:cs="Times New Roman"/>
    </w:rPr>
  </w:style>
  <w:style w:type="character" w:customStyle="1" w:styleId="24">
    <w:name w:val="bigsimbol"/>
    <w:uiPriority w:val="0"/>
    <w:rPr>
      <w:rFonts w:hint="default" w:ascii="Times New Roman" w:hAnsi="Times New Roman" w:cs="Times New Roman"/>
      <w:caps/>
    </w:rPr>
  </w:style>
  <w:style w:type="character" w:customStyle="1" w:styleId="25">
    <w:name w:val="razr"/>
    <w:uiPriority w:val="0"/>
    <w:rPr>
      <w:rFonts w:hint="default" w:ascii="Times New Roman" w:hAnsi="Times New Roman" w:cs="Times New Roman"/>
      <w:spacing w:val="20"/>
    </w:rPr>
  </w:style>
  <w:style w:type="character" w:customStyle="1" w:styleId="26">
    <w:name w:val="onesymbol"/>
    <w:uiPriority w:val="0"/>
    <w:rPr>
      <w:rFonts w:ascii="Symbol" w:hAnsi="Symbol" w:cs="Symbol"/>
    </w:rPr>
  </w:style>
  <w:style w:type="character" w:customStyle="1" w:styleId="27">
    <w:name w:val="post"/>
    <w:uiPriority w:val="0"/>
    <w:rPr>
      <w:rFonts w:hint="default" w:ascii="Times New Roman" w:hAnsi="Times New Roman" w:cs="Times New Roman"/>
      <w:b/>
      <w:sz w:val="22"/>
      <w:szCs w:val="22"/>
    </w:rPr>
  </w:style>
  <w:style w:type="character" w:customStyle="1" w:styleId="28">
    <w:name w:val="onewind3"/>
    <w:uiPriority w:val="0"/>
    <w:rPr>
      <w:rFonts w:ascii="Wingdings 3" w:hAnsi="Wingdings 3" w:eastAsia="Wingdings 3" w:cs="Wingdings 3"/>
    </w:rPr>
  </w:style>
  <w:style w:type="character" w:customStyle="1" w:styleId="29">
    <w:name w:val="pers"/>
    <w:uiPriority w:val="0"/>
    <w:rPr>
      <w:rFonts w:hint="default" w:ascii="Times New Roman" w:hAnsi="Times New Roman" w:cs="Times New Roman"/>
      <w:b/>
      <w:sz w:val="22"/>
      <w:szCs w:val="22"/>
    </w:rPr>
  </w:style>
  <w:style w:type="paragraph" w:customStyle="1" w:styleId="30">
    <w:name w:val="chapter"/>
    <w:basedOn w:val="1"/>
    <w:uiPriority w:val="0"/>
    <w:pPr>
      <w:spacing w:before="240" w:beforeAutospacing="0" w:after="240" w:afterAutospacing="0"/>
      <w:ind w:left="0" w:right="0"/>
      <w:jc w:val="center"/>
    </w:pPr>
    <w:rPr>
      <w:rFonts w:hint="default" w:ascii="Times New Roman" w:hAnsi="Times New Roman" w:cs="Times New Roman"/>
      <w:b/>
      <w:caps/>
      <w:kern w:val="0"/>
      <w:sz w:val="24"/>
      <w:szCs w:val="24"/>
      <w:lang w:val="en-US" w:eastAsia="zh-CN" w:bidi="ar"/>
    </w:rPr>
  </w:style>
  <w:style w:type="character" w:customStyle="1" w:styleId="31">
    <w:name w:val="arabic"/>
    <w:uiPriority w:val="0"/>
    <w:rPr>
      <w:rFonts w:hint="default" w:ascii="Times New Roman" w:hAnsi="Times New Roman" w:cs="Times New Roman"/>
    </w:rPr>
  </w:style>
  <w:style w:type="paragraph" w:customStyle="1" w:styleId="32">
    <w:name w:val="point"/>
    <w:basedOn w:val="1"/>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3">
    <w:name w:val="newncpi0"/>
    <w:basedOn w:val="1"/>
    <w:uiPriority w:val="0"/>
    <w:pPr>
      <w:spacing w:before="0" w:beforeAutospacing="0" w:after="0" w:afterAutospacing="0"/>
      <w:ind w:left="0" w:right="0" w:firstLine="0"/>
      <w:jc w:val="both"/>
    </w:pPr>
    <w:rPr>
      <w:rFonts w:hint="default" w:ascii="Times New Roman" w:hAnsi="Times New Roman" w:cs="Times New Roman"/>
      <w:kern w:val="0"/>
      <w:sz w:val="24"/>
      <w:szCs w:val="24"/>
      <w:lang w:val="en-US" w:eastAsia="zh-CN" w:bidi="ar"/>
    </w:rPr>
  </w:style>
  <w:style w:type="paragraph" w:customStyle="1" w:styleId="34">
    <w:name w:val="underpoint"/>
    <w:basedOn w:val="1"/>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5">
    <w:name w:val="changeadd"/>
    <w:basedOn w:val="1"/>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paragraph" w:customStyle="1" w:styleId="36">
    <w:name w:val="changei"/>
    <w:basedOn w:val="1"/>
    <w:uiPriority w:val="0"/>
    <w:pPr>
      <w:spacing w:before="0" w:beforeAutospacing="0" w:after="0" w:afterAutospacing="0"/>
      <w:ind w:left="1020" w:right="0"/>
      <w:jc w:val="left"/>
    </w:pPr>
    <w:rPr>
      <w:rFonts w:hint="default" w:ascii="Times New Roman" w:hAnsi="Times New Roman" w:cs="Times New Roman"/>
      <w:kern w:val="0"/>
      <w:sz w:val="24"/>
      <w:szCs w:val="24"/>
      <w:lang w:val="en-US" w:eastAsia="zh-CN" w:bidi="ar"/>
    </w:rPr>
  </w:style>
  <w:style w:type="paragraph" w:customStyle="1" w:styleId="37">
    <w:name w:val="newncpi"/>
    <w:basedOn w:val="1"/>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table" w:customStyle="1" w:styleId="38">
    <w:name w:val="tablencpi"/>
    <w:uiPriority w:val="0"/>
    <w:tblPr>
      <w:tblLayout w:type="fixed"/>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2018-12-26T05:53:00Z</dcterms:created>
  <dc:creator>LudaA</dc:creator>
  <cp:lastModifiedBy>LudaA</cp:lastModifiedBy>
  <dcterms:modified xsi:type="dcterms:W3CDTF">2018-12-26T05:57:31Z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